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52" w:type="dxa"/>
        <w:tblInd w:w="-5" w:type="dxa"/>
        <w:tblLayout w:type="fixed"/>
        <w:tblLook w:val="04A0" w:firstRow="1" w:lastRow="0" w:firstColumn="1" w:lastColumn="0" w:noHBand="0" w:noVBand="1"/>
      </w:tblPr>
      <w:tblGrid>
        <w:gridCol w:w="1276"/>
        <w:gridCol w:w="2835"/>
        <w:gridCol w:w="284"/>
        <w:gridCol w:w="1402"/>
        <w:gridCol w:w="495"/>
        <w:gridCol w:w="992"/>
        <w:gridCol w:w="96"/>
        <w:gridCol w:w="2165"/>
        <w:gridCol w:w="7"/>
      </w:tblGrid>
      <w:tr w:rsidR="0032216D">
        <w:trPr>
          <w:trHeight w:val="699"/>
        </w:trPr>
        <w:tc>
          <w:tcPr>
            <w:tcW w:w="7284" w:type="dxa"/>
            <w:gridSpan w:val="6"/>
            <w:shd w:val="clear" w:color="auto" w:fill="auto"/>
            <w:vAlign w:val="center"/>
          </w:tcPr>
          <w:p w:rsidR="0032216D" w:rsidRDefault="001815DD">
            <w:pPr>
              <w:jc w:val="center"/>
              <w:rPr>
                <w:b/>
                <w:sz w:val="48"/>
                <w:szCs w:val="48"/>
              </w:rPr>
            </w:pPr>
            <w:bookmarkStart w:id="0" w:name="_GoBack"/>
            <w:bookmarkEnd w:id="0"/>
            <w:r>
              <w:rPr>
                <w:b/>
                <w:sz w:val="48"/>
                <w:szCs w:val="48"/>
              </w:rPr>
              <w:t>ICT</w:t>
            </w:r>
          </w:p>
        </w:tc>
        <w:tc>
          <w:tcPr>
            <w:tcW w:w="2268" w:type="dxa"/>
            <w:gridSpan w:val="3"/>
            <w:vMerge w:val="restart"/>
            <w:shd w:val="clear" w:color="auto" w:fill="auto"/>
            <w:vAlign w:val="center"/>
          </w:tcPr>
          <w:p w:rsidR="0032216D" w:rsidRDefault="001815DD">
            <w:pPr>
              <w:jc w:val="center"/>
              <w:rPr>
                <w:b/>
                <w:sz w:val="72"/>
                <w:szCs w:val="72"/>
              </w:rPr>
            </w:pPr>
            <w:r>
              <w:rPr>
                <w:b/>
                <w:noProof/>
                <w:sz w:val="96"/>
                <w:lang w:eastAsia="en-GB"/>
              </w:rPr>
              <w:drawing>
                <wp:inline distT="0" distB="0" distL="0" distR="0">
                  <wp:extent cx="1378932" cy="852805"/>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and ICT5.fw.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94886" cy="862672"/>
                          </a:xfrm>
                          <a:prstGeom prst="rect">
                            <a:avLst/>
                          </a:prstGeom>
                        </pic:spPr>
                      </pic:pic>
                    </a:graphicData>
                  </a:graphic>
                </wp:inline>
              </w:drawing>
            </w:r>
          </w:p>
        </w:tc>
      </w:tr>
      <w:tr w:rsidR="0032216D" w:rsidTr="001815DD">
        <w:trPr>
          <w:trHeight w:val="694"/>
        </w:trPr>
        <w:tc>
          <w:tcPr>
            <w:tcW w:w="1276" w:type="dxa"/>
            <w:shd w:val="clear" w:color="auto" w:fill="auto"/>
          </w:tcPr>
          <w:p w:rsidR="0032216D" w:rsidRDefault="001815DD">
            <w:pPr>
              <w:rPr>
                <w:b/>
                <w:sz w:val="28"/>
                <w:szCs w:val="28"/>
              </w:rPr>
            </w:pPr>
            <w:r>
              <w:rPr>
                <w:b/>
                <w:sz w:val="28"/>
                <w:szCs w:val="28"/>
              </w:rPr>
              <w:t>Exam Board:</w:t>
            </w:r>
          </w:p>
        </w:tc>
        <w:tc>
          <w:tcPr>
            <w:tcW w:w="2835" w:type="dxa"/>
            <w:shd w:val="clear" w:color="auto" w:fill="auto"/>
          </w:tcPr>
          <w:p w:rsidR="0032216D" w:rsidRDefault="001815DD">
            <w:pPr>
              <w:rPr>
                <w:b/>
                <w:sz w:val="28"/>
                <w:szCs w:val="28"/>
              </w:rPr>
            </w:pPr>
            <w:r>
              <w:rPr>
                <w:b/>
                <w:sz w:val="28"/>
                <w:szCs w:val="28"/>
              </w:rPr>
              <w:t>Cambridge International</w:t>
            </w:r>
          </w:p>
        </w:tc>
        <w:tc>
          <w:tcPr>
            <w:tcW w:w="2181" w:type="dxa"/>
            <w:gridSpan w:val="3"/>
            <w:shd w:val="clear" w:color="auto" w:fill="auto"/>
          </w:tcPr>
          <w:p w:rsidR="0032216D" w:rsidRDefault="001815DD">
            <w:pPr>
              <w:rPr>
                <w:b/>
                <w:sz w:val="28"/>
                <w:szCs w:val="28"/>
              </w:rPr>
            </w:pPr>
            <w:r>
              <w:rPr>
                <w:b/>
                <w:sz w:val="28"/>
                <w:szCs w:val="28"/>
              </w:rPr>
              <w:t>Syllabus Code:</w:t>
            </w:r>
          </w:p>
        </w:tc>
        <w:tc>
          <w:tcPr>
            <w:tcW w:w="992" w:type="dxa"/>
            <w:shd w:val="clear" w:color="auto" w:fill="auto"/>
          </w:tcPr>
          <w:p w:rsidR="0032216D" w:rsidRDefault="001815DD">
            <w:pPr>
              <w:rPr>
                <w:b/>
                <w:sz w:val="28"/>
                <w:szCs w:val="28"/>
              </w:rPr>
            </w:pPr>
            <w:r>
              <w:rPr>
                <w:b/>
                <w:sz w:val="28"/>
                <w:szCs w:val="28"/>
              </w:rPr>
              <w:t>0417</w:t>
            </w:r>
          </w:p>
        </w:tc>
        <w:tc>
          <w:tcPr>
            <w:tcW w:w="2268" w:type="dxa"/>
            <w:gridSpan w:val="3"/>
            <w:vMerge/>
            <w:shd w:val="clear" w:color="auto" w:fill="auto"/>
          </w:tcPr>
          <w:p w:rsidR="0032216D" w:rsidRDefault="0032216D">
            <w:pPr>
              <w:rPr>
                <w:b/>
                <w:sz w:val="28"/>
                <w:szCs w:val="28"/>
              </w:rPr>
            </w:pPr>
          </w:p>
        </w:tc>
      </w:tr>
      <w:tr w:rsidR="0032216D">
        <w:tc>
          <w:tcPr>
            <w:tcW w:w="9552" w:type="dxa"/>
            <w:gridSpan w:val="9"/>
            <w:shd w:val="clear" w:color="auto" w:fill="auto"/>
          </w:tcPr>
          <w:p w:rsidR="0032216D" w:rsidRDefault="001815DD">
            <w:pPr>
              <w:rPr>
                <w:b/>
                <w:sz w:val="28"/>
                <w:szCs w:val="28"/>
              </w:rPr>
            </w:pPr>
            <w:r>
              <w:rPr>
                <w:b/>
                <w:sz w:val="32"/>
                <w:szCs w:val="32"/>
              </w:rPr>
              <w:t>Course outline:</w:t>
            </w:r>
          </w:p>
        </w:tc>
      </w:tr>
      <w:tr w:rsidR="0032216D">
        <w:tc>
          <w:tcPr>
            <w:tcW w:w="9552" w:type="dxa"/>
            <w:gridSpan w:val="9"/>
          </w:tcPr>
          <w:p w:rsidR="0032216D" w:rsidRDefault="001815DD">
            <w:pPr>
              <w:tabs>
                <w:tab w:val="left" w:pos="4020"/>
              </w:tabs>
              <w:jc w:val="both"/>
              <w:rPr>
                <w:rFonts w:ascii="Calibri" w:hAnsi="Calibri" w:cs="Arial"/>
                <w:sz w:val="24"/>
                <w:szCs w:val="24"/>
                <w:lang w:val="en-US"/>
              </w:rPr>
            </w:pPr>
            <w:r>
              <w:rPr>
                <w:rFonts w:ascii="Calibri" w:hAnsi="Calibri" w:cs="Arial"/>
                <w:sz w:val="24"/>
                <w:szCs w:val="24"/>
                <w:lang w:val="en-US"/>
              </w:rPr>
              <w:t xml:space="preserve">The Information Communication Technology syllabus encourages students to develop lifelong skills, which will be useful to them in their work across the curriculum and prepare them for future employment. Students will develop an understanding of the implications of technology in society, including social, economic and ethical uses and awareness of the ways ICT can help in home, learning and work environments.  </w:t>
            </w:r>
          </w:p>
          <w:p w:rsidR="0032216D" w:rsidRPr="008412CB" w:rsidRDefault="0032216D">
            <w:pPr>
              <w:tabs>
                <w:tab w:val="left" w:pos="4020"/>
              </w:tabs>
              <w:jc w:val="both"/>
              <w:rPr>
                <w:rFonts w:ascii="Calibri" w:hAnsi="Calibri" w:cs="Arial"/>
                <w:sz w:val="20"/>
                <w:szCs w:val="24"/>
                <w:lang w:val="en-US"/>
              </w:rPr>
            </w:pPr>
          </w:p>
          <w:p w:rsidR="0032216D" w:rsidRDefault="001815DD" w:rsidP="008412CB">
            <w:pPr>
              <w:jc w:val="both"/>
            </w:pPr>
            <w:r>
              <w:rPr>
                <w:sz w:val="24"/>
                <w:szCs w:val="24"/>
              </w:rPr>
              <w:t>The syllabus combines theoretical and practical studies focusing on the ability to use common software applications to solve problems, including word processors, spreadsheets, databases, interactive presentation software, web browsers and website design. Learners analyse, design, implement, test and evaluate ICT systems, ensuring that they are fit for purpose.</w:t>
            </w:r>
            <w:r>
              <w:t xml:space="preserve">  </w:t>
            </w:r>
          </w:p>
          <w:p w:rsidR="008412CB" w:rsidRPr="008412CB" w:rsidRDefault="008412CB" w:rsidP="008412CB">
            <w:pPr>
              <w:jc w:val="both"/>
              <w:rPr>
                <w:sz w:val="18"/>
              </w:rPr>
            </w:pPr>
          </w:p>
        </w:tc>
      </w:tr>
      <w:tr w:rsidR="0032216D">
        <w:tc>
          <w:tcPr>
            <w:tcW w:w="9552" w:type="dxa"/>
            <w:gridSpan w:val="9"/>
            <w:shd w:val="clear" w:color="auto" w:fill="auto"/>
          </w:tcPr>
          <w:p w:rsidR="0032216D" w:rsidRDefault="001815DD">
            <w:pPr>
              <w:widowControl w:val="0"/>
              <w:autoSpaceDE w:val="0"/>
              <w:autoSpaceDN w:val="0"/>
              <w:adjustRightInd w:val="0"/>
              <w:jc w:val="both"/>
              <w:rPr>
                <w:sz w:val="24"/>
                <w:szCs w:val="24"/>
              </w:rPr>
            </w:pPr>
            <w:r>
              <w:rPr>
                <w:b/>
                <w:sz w:val="32"/>
                <w:szCs w:val="32"/>
              </w:rPr>
              <w:t>Course assessment:</w:t>
            </w:r>
          </w:p>
        </w:tc>
      </w:tr>
      <w:tr w:rsidR="0032216D">
        <w:tc>
          <w:tcPr>
            <w:tcW w:w="9552" w:type="dxa"/>
            <w:gridSpan w:val="9"/>
          </w:tcPr>
          <w:p w:rsidR="0032216D" w:rsidRDefault="001815DD">
            <w:pPr>
              <w:rPr>
                <w:sz w:val="24"/>
                <w:szCs w:val="24"/>
              </w:rPr>
            </w:pPr>
            <w:r>
              <w:rPr>
                <w:sz w:val="24"/>
                <w:szCs w:val="24"/>
              </w:rPr>
              <w:t>The assessment of the Cambridge IGCSE ICT course is all at the end of Year 11 and takes the form of 3 examinations:</w:t>
            </w:r>
          </w:p>
          <w:p w:rsidR="0032216D" w:rsidRDefault="0032216D">
            <w:pPr>
              <w:rPr>
                <w:b/>
                <w:sz w:val="24"/>
                <w:szCs w:val="24"/>
              </w:rPr>
            </w:pPr>
          </w:p>
        </w:tc>
      </w:tr>
      <w:tr w:rsidR="0032216D" w:rsidTr="001815DD">
        <w:trPr>
          <w:gridAfter w:val="1"/>
          <w:wAfter w:w="7" w:type="dxa"/>
          <w:trHeight w:val="99"/>
        </w:trPr>
        <w:tc>
          <w:tcPr>
            <w:tcW w:w="1276" w:type="dxa"/>
            <w:shd w:val="clear" w:color="auto" w:fill="auto"/>
          </w:tcPr>
          <w:p w:rsidR="0032216D" w:rsidRDefault="001815DD">
            <w:pPr>
              <w:widowControl w:val="0"/>
              <w:autoSpaceDE w:val="0"/>
              <w:autoSpaceDN w:val="0"/>
              <w:adjustRightInd w:val="0"/>
              <w:jc w:val="center"/>
              <w:rPr>
                <w:b/>
                <w:sz w:val="32"/>
                <w:szCs w:val="32"/>
              </w:rPr>
            </w:pPr>
            <w:r>
              <w:rPr>
                <w:b/>
                <w:sz w:val="32"/>
                <w:szCs w:val="32"/>
              </w:rPr>
              <w:t>Paper</w:t>
            </w:r>
          </w:p>
        </w:tc>
        <w:tc>
          <w:tcPr>
            <w:tcW w:w="3119" w:type="dxa"/>
            <w:gridSpan w:val="2"/>
            <w:shd w:val="clear" w:color="auto" w:fill="auto"/>
          </w:tcPr>
          <w:p w:rsidR="0032216D" w:rsidRDefault="001815DD">
            <w:pPr>
              <w:widowControl w:val="0"/>
              <w:autoSpaceDE w:val="0"/>
              <w:autoSpaceDN w:val="0"/>
              <w:adjustRightInd w:val="0"/>
              <w:jc w:val="both"/>
              <w:rPr>
                <w:b/>
                <w:sz w:val="32"/>
                <w:szCs w:val="32"/>
              </w:rPr>
            </w:pPr>
            <w:r>
              <w:rPr>
                <w:b/>
                <w:sz w:val="32"/>
                <w:szCs w:val="32"/>
              </w:rPr>
              <w:t>Topic</w:t>
            </w:r>
          </w:p>
        </w:tc>
        <w:tc>
          <w:tcPr>
            <w:tcW w:w="1402" w:type="dxa"/>
            <w:shd w:val="clear" w:color="auto" w:fill="auto"/>
          </w:tcPr>
          <w:p w:rsidR="0032216D" w:rsidRDefault="001815DD">
            <w:pPr>
              <w:widowControl w:val="0"/>
              <w:autoSpaceDE w:val="0"/>
              <w:autoSpaceDN w:val="0"/>
              <w:adjustRightInd w:val="0"/>
              <w:jc w:val="both"/>
              <w:rPr>
                <w:b/>
                <w:sz w:val="32"/>
                <w:szCs w:val="32"/>
              </w:rPr>
            </w:pPr>
            <w:r>
              <w:rPr>
                <w:b/>
                <w:sz w:val="32"/>
                <w:szCs w:val="32"/>
              </w:rPr>
              <w:t>Length</w:t>
            </w:r>
          </w:p>
        </w:tc>
        <w:tc>
          <w:tcPr>
            <w:tcW w:w="1583" w:type="dxa"/>
            <w:gridSpan w:val="3"/>
            <w:shd w:val="clear" w:color="auto" w:fill="auto"/>
          </w:tcPr>
          <w:p w:rsidR="0032216D" w:rsidRDefault="001815DD">
            <w:pPr>
              <w:widowControl w:val="0"/>
              <w:autoSpaceDE w:val="0"/>
              <w:autoSpaceDN w:val="0"/>
              <w:adjustRightInd w:val="0"/>
              <w:jc w:val="both"/>
              <w:rPr>
                <w:b/>
                <w:sz w:val="32"/>
                <w:szCs w:val="32"/>
              </w:rPr>
            </w:pPr>
            <w:r>
              <w:rPr>
                <w:b/>
                <w:sz w:val="32"/>
                <w:szCs w:val="32"/>
              </w:rPr>
              <w:t>Weighting</w:t>
            </w:r>
          </w:p>
        </w:tc>
        <w:tc>
          <w:tcPr>
            <w:tcW w:w="2165" w:type="dxa"/>
            <w:shd w:val="clear" w:color="auto" w:fill="auto"/>
          </w:tcPr>
          <w:p w:rsidR="0032216D" w:rsidRDefault="001815DD">
            <w:pPr>
              <w:widowControl w:val="0"/>
              <w:autoSpaceDE w:val="0"/>
              <w:autoSpaceDN w:val="0"/>
              <w:adjustRightInd w:val="0"/>
              <w:jc w:val="center"/>
              <w:rPr>
                <w:b/>
                <w:sz w:val="32"/>
                <w:szCs w:val="32"/>
              </w:rPr>
            </w:pPr>
            <w:r>
              <w:rPr>
                <w:b/>
                <w:sz w:val="32"/>
                <w:szCs w:val="32"/>
              </w:rPr>
              <w:t>Assessment</w:t>
            </w:r>
          </w:p>
        </w:tc>
      </w:tr>
      <w:tr w:rsidR="0032216D" w:rsidTr="001815DD">
        <w:trPr>
          <w:gridAfter w:val="1"/>
          <w:wAfter w:w="7" w:type="dxa"/>
          <w:trHeight w:val="97"/>
        </w:trPr>
        <w:tc>
          <w:tcPr>
            <w:tcW w:w="1276" w:type="dxa"/>
          </w:tcPr>
          <w:p w:rsidR="0032216D" w:rsidRDefault="001815DD">
            <w:pPr>
              <w:widowControl w:val="0"/>
              <w:autoSpaceDE w:val="0"/>
              <w:autoSpaceDN w:val="0"/>
              <w:adjustRightInd w:val="0"/>
              <w:jc w:val="center"/>
              <w:rPr>
                <w:b/>
              </w:rPr>
            </w:pPr>
            <w:r>
              <w:rPr>
                <w:b/>
              </w:rPr>
              <w:t>1</w:t>
            </w:r>
          </w:p>
        </w:tc>
        <w:tc>
          <w:tcPr>
            <w:tcW w:w="3119" w:type="dxa"/>
            <w:gridSpan w:val="2"/>
          </w:tcPr>
          <w:p w:rsidR="0032216D" w:rsidRDefault="001815DD">
            <w:pPr>
              <w:widowControl w:val="0"/>
              <w:autoSpaceDE w:val="0"/>
              <w:autoSpaceDN w:val="0"/>
              <w:adjustRightInd w:val="0"/>
              <w:jc w:val="both"/>
              <w:rPr>
                <w:b/>
              </w:rPr>
            </w:pPr>
            <w:r>
              <w:rPr>
                <w:b/>
              </w:rPr>
              <w:t>Theory</w:t>
            </w:r>
          </w:p>
        </w:tc>
        <w:tc>
          <w:tcPr>
            <w:tcW w:w="1402" w:type="dxa"/>
          </w:tcPr>
          <w:p w:rsidR="0032216D" w:rsidRDefault="008412CB">
            <w:pPr>
              <w:widowControl w:val="0"/>
              <w:autoSpaceDE w:val="0"/>
              <w:autoSpaceDN w:val="0"/>
              <w:adjustRightInd w:val="0"/>
              <w:jc w:val="center"/>
              <w:rPr>
                <w:b/>
              </w:rPr>
            </w:pPr>
            <w:r>
              <w:rPr>
                <w:b/>
              </w:rPr>
              <w:t>1hr 30</w:t>
            </w:r>
            <w:r w:rsidR="001815DD">
              <w:rPr>
                <w:b/>
              </w:rPr>
              <w:t xml:space="preserve"> hours</w:t>
            </w:r>
            <w:r>
              <w:rPr>
                <w:b/>
              </w:rPr>
              <w:t xml:space="preserve"> minutes</w:t>
            </w:r>
          </w:p>
        </w:tc>
        <w:tc>
          <w:tcPr>
            <w:tcW w:w="1583" w:type="dxa"/>
            <w:gridSpan w:val="3"/>
          </w:tcPr>
          <w:p w:rsidR="0032216D" w:rsidRDefault="001815DD">
            <w:pPr>
              <w:widowControl w:val="0"/>
              <w:autoSpaceDE w:val="0"/>
              <w:autoSpaceDN w:val="0"/>
              <w:adjustRightInd w:val="0"/>
              <w:jc w:val="center"/>
              <w:rPr>
                <w:b/>
              </w:rPr>
            </w:pPr>
            <w:r>
              <w:rPr>
                <w:b/>
              </w:rPr>
              <w:t>40%</w:t>
            </w:r>
          </w:p>
        </w:tc>
        <w:tc>
          <w:tcPr>
            <w:tcW w:w="2165" w:type="dxa"/>
          </w:tcPr>
          <w:p w:rsidR="0032216D" w:rsidRDefault="001815DD">
            <w:pPr>
              <w:widowControl w:val="0"/>
              <w:autoSpaceDE w:val="0"/>
              <w:autoSpaceDN w:val="0"/>
              <w:adjustRightInd w:val="0"/>
              <w:jc w:val="center"/>
              <w:rPr>
                <w:b/>
              </w:rPr>
            </w:pPr>
            <w:r>
              <w:rPr>
                <w:b/>
              </w:rPr>
              <w:t>External</w:t>
            </w:r>
          </w:p>
        </w:tc>
      </w:tr>
      <w:tr w:rsidR="0032216D" w:rsidTr="001815DD">
        <w:trPr>
          <w:gridAfter w:val="1"/>
          <w:wAfter w:w="7" w:type="dxa"/>
          <w:trHeight w:val="97"/>
        </w:trPr>
        <w:tc>
          <w:tcPr>
            <w:tcW w:w="1276" w:type="dxa"/>
          </w:tcPr>
          <w:p w:rsidR="0032216D" w:rsidRDefault="001815DD">
            <w:pPr>
              <w:widowControl w:val="0"/>
              <w:autoSpaceDE w:val="0"/>
              <w:autoSpaceDN w:val="0"/>
              <w:adjustRightInd w:val="0"/>
              <w:jc w:val="center"/>
              <w:rPr>
                <w:b/>
              </w:rPr>
            </w:pPr>
            <w:r>
              <w:rPr>
                <w:b/>
              </w:rPr>
              <w:t>2</w:t>
            </w:r>
          </w:p>
        </w:tc>
        <w:tc>
          <w:tcPr>
            <w:tcW w:w="3119" w:type="dxa"/>
            <w:gridSpan w:val="2"/>
          </w:tcPr>
          <w:p w:rsidR="0032216D" w:rsidRDefault="001815DD">
            <w:pPr>
              <w:widowControl w:val="0"/>
              <w:autoSpaceDE w:val="0"/>
              <w:autoSpaceDN w:val="0"/>
              <w:adjustRightInd w:val="0"/>
              <w:rPr>
                <w:b/>
              </w:rPr>
            </w:pPr>
            <w:r>
              <w:rPr>
                <w:b/>
              </w:rPr>
              <w:t>Document Production, Data Manipulation and Presentations</w:t>
            </w:r>
          </w:p>
        </w:tc>
        <w:tc>
          <w:tcPr>
            <w:tcW w:w="1402" w:type="dxa"/>
          </w:tcPr>
          <w:p w:rsidR="0032216D" w:rsidRDefault="008412CB">
            <w:pPr>
              <w:widowControl w:val="0"/>
              <w:autoSpaceDE w:val="0"/>
              <w:autoSpaceDN w:val="0"/>
              <w:adjustRightInd w:val="0"/>
              <w:jc w:val="center"/>
              <w:rPr>
                <w:b/>
              </w:rPr>
            </w:pPr>
            <w:r>
              <w:rPr>
                <w:b/>
              </w:rPr>
              <w:t xml:space="preserve">2 hours 15 </w:t>
            </w:r>
            <w:r w:rsidR="001815DD">
              <w:rPr>
                <w:b/>
              </w:rPr>
              <w:t>minutes</w:t>
            </w:r>
          </w:p>
        </w:tc>
        <w:tc>
          <w:tcPr>
            <w:tcW w:w="1583" w:type="dxa"/>
            <w:gridSpan w:val="3"/>
          </w:tcPr>
          <w:p w:rsidR="0032216D" w:rsidRDefault="001815DD">
            <w:pPr>
              <w:widowControl w:val="0"/>
              <w:autoSpaceDE w:val="0"/>
              <w:autoSpaceDN w:val="0"/>
              <w:adjustRightInd w:val="0"/>
              <w:jc w:val="center"/>
              <w:rPr>
                <w:b/>
              </w:rPr>
            </w:pPr>
            <w:r>
              <w:rPr>
                <w:b/>
              </w:rPr>
              <w:t>30%</w:t>
            </w:r>
          </w:p>
        </w:tc>
        <w:tc>
          <w:tcPr>
            <w:tcW w:w="2165" w:type="dxa"/>
          </w:tcPr>
          <w:p w:rsidR="0032216D" w:rsidRDefault="001815DD">
            <w:pPr>
              <w:widowControl w:val="0"/>
              <w:autoSpaceDE w:val="0"/>
              <w:autoSpaceDN w:val="0"/>
              <w:adjustRightInd w:val="0"/>
              <w:jc w:val="center"/>
              <w:rPr>
                <w:b/>
              </w:rPr>
            </w:pPr>
            <w:r>
              <w:rPr>
                <w:b/>
              </w:rPr>
              <w:t>External</w:t>
            </w:r>
          </w:p>
        </w:tc>
      </w:tr>
      <w:tr w:rsidR="0032216D" w:rsidTr="001815DD">
        <w:trPr>
          <w:gridAfter w:val="1"/>
          <w:wAfter w:w="7" w:type="dxa"/>
          <w:trHeight w:val="97"/>
        </w:trPr>
        <w:tc>
          <w:tcPr>
            <w:tcW w:w="1276" w:type="dxa"/>
          </w:tcPr>
          <w:p w:rsidR="0032216D" w:rsidRDefault="001815DD">
            <w:pPr>
              <w:widowControl w:val="0"/>
              <w:autoSpaceDE w:val="0"/>
              <w:autoSpaceDN w:val="0"/>
              <w:adjustRightInd w:val="0"/>
              <w:jc w:val="center"/>
              <w:rPr>
                <w:b/>
              </w:rPr>
            </w:pPr>
            <w:r>
              <w:rPr>
                <w:b/>
              </w:rPr>
              <w:t>3</w:t>
            </w:r>
          </w:p>
        </w:tc>
        <w:tc>
          <w:tcPr>
            <w:tcW w:w="3119" w:type="dxa"/>
            <w:gridSpan w:val="2"/>
          </w:tcPr>
          <w:p w:rsidR="0032216D" w:rsidRDefault="001815DD">
            <w:pPr>
              <w:widowControl w:val="0"/>
              <w:autoSpaceDE w:val="0"/>
              <w:autoSpaceDN w:val="0"/>
              <w:adjustRightInd w:val="0"/>
              <w:rPr>
                <w:b/>
              </w:rPr>
            </w:pPr>
            <w:r>
              <w:rPr>
                <w:b/>
              </w:rPr>
              <w:t>Data Analysis and Website Authoring</w:t>
            </w:r>
          </w:p>
        </w:tc>
        <w:tc>
          <w:tcPr>
            <w:tcW w:w="1402" w:type="dxa"/>
          </w:tcPr>
          <w:p w:rsidR="0032216D" w:rsidRDefault="008412CB" w:rsidP="008412CB">
            <w:pPr>
              <w:widowControl w:val="0"/>
              <w:autoSpaceDE w:val="0"/>
              <w:autoSpaceDN w:val="0"/>
              <w:adjustRightInd w:val="0"/>
              <w:jc w:val="center"/>
              <w:rPr>
                <w:b/>
              </w:rPr>
            </w:pPr>
            <w:r>
              <w:rPr>
                <w:b/>
              </w:rPr>
              <w:t>2 hours 15</w:t>
            </w:r>
            <w:r w:rsidR="001815DD">
              <w:rPr>
                <w:b/>
              </w:rPr>
              <w:t xml:space="preserve"> minutes</w:t>
            </w:r>
          </w:p>
        </w:tc>
        <w:tc>
          <w:tcPr>
            <w:tcW w:w="1583" w:type="dxa"/>
            <w:gridSpan w:val="3"/>
          </w:tcPr>
          <w:p w:rsidR="0032216D" w:rsidRDefault="001815DD">
            <w:pPr>
              <w:widowControl w:val="0"/>
              <w:autoSpaceDE w:val="0"/>
              <w:autoSpaceDN w:val="0"/>
              <w:adjustRightInd w:val="0"/>
              <w:jc w:val="center"/>
              <w:rPr>
                <w:b/>
              </w:rPr>
            </w:pPr>
            <w:r>
              <w:rPr>
                <w:b/>
              </w:rPr>
              <w:t>30%</w:t>
            </w:r>
          </w:p>
        </w:tc>
        <w:tc>
          <w:tcPr>
            <w:tcW w:w="2165" w:type="dxa"/>
          </w:tcPr>
          <w:p w:rsidR="0032216D" w:rsidRDefault="001815DD">
            <w:pPr>
              <w:widowControl w:val="0"/>
              <w:autoSpaceDE w:val="0"/>
              <w:autoSpaceDN w:val="0"/>
              <w:adjustRightInd w:val="0"/>
              <w:jc w:val="center"/>
              <w:rPr>
                <w:b/>
              </w:rPr>
            </w:pPr>
            <w:r>
              <w:rPr>
                <w:b/>
              </w:rPr>
              <w:t>External</w:t>
            </w:r>
          </w:p>
        </w:tc>
      </w:tr>
      <w:tr w:rsidR="0032216D">
        <w:tc>
          <w:tcPr>
            <w:tcW w:w="9552" w:type="dxa"/>
            <w:gridSpan w:val="9"/>
            <w:shd w:val="clear" w:color="auto" w:fill="auto"/>
          </w:tcPr>
          <w:p w:rsidR="0032216D" w:rsidRDefault="001815DD">
            <w:r>
              <w:rPr>
                <w:rFonts w:cstheme="minorHAnsi"/>
                <w:b/>
                <w:sz w:val="32"/>
                <w:szCs w:val="32"/>
              </w:rPr>
              <w:br/>
              <w:t>What qualities do I need to take this subject?</w:t>
            </w:r>
          </w:p>
        </w:tc>
      </w:tr>
      <w:tr w:rsidR="0032216D">
        <w:tc>
          <w:tcPr>
            <w:tcW w:w="9552" w:type="dxa"/>
            <w:gridSpan w:val="9"/>
          </w:tcPr>
          <w:p w:rsidR="0032216D" w:rsidRDefault="001815DD" w:rsidP="008412CB">
            <w:pPr>
              <w:widowControl w:val="0"/>
              <w:autoSpaceDE w:val="0"/>
              <w:autoSpaceDN w:val="0"/>
              <w:adjustRightInd w:val="0"/>
              <w:jc w:val="both"/>
              <w:rPr>
                <w:b/>
                <w:sz w:val="24"/>
                <w:szCs w:val="24"/>
              </w:rPr>
            </w:pPr>
            <w:r>
              <w:rPr>
                <w:sz w:val="24"/>
                <w:szCs w:val="24"/>
              </w:rPr>
              <w:t xml:space="preserve">Having even a </w:t>
            </w:r>
            <w:r>
              <w:rPr>
                <w:b/>
                <w:sz w:val="24"/>
                <w:szCs w:val="24"/>
              </w:rPr>
              <w:t>basic</w:t>
            </w:r>
            <w:r>
              <w:rPr>
                <w:sz w:val="24"/>
                <w:szCs w:val="24"/>
              </w:rPr>
              <w:t xml:space="preserve"> understanding of ICT can open up a lot more opportunities in the workplace, whether you’re working in a shop, an office or elsewhere in industry. It is widely known that there is a skills shortage in the ICT sector.  Most employers today expect staff to be able to use a computer and, used well, technology is a tool that can empower you and help you succeed, it also looks good on your C.V.  S</w:t>
            </w:r>
            <w:r>
              <w:rPr>
                <w:rFonts w:cs="Arial"/>
                <w:sz w:val="24"/>
                <w:szCs w:val="24"/>
                <w:shd w:val="clear" w:color="auto" w:fill="FFFFFF"/>
              </w:rPr>
              <w:t>o if you want to deepen your knowledge of technology, enjoy practical activities, can problem solve and want to learn new skills in an engaging way then ICT is for you!</w:t>
            </w:r>
          </w:p>
        </w:tc>
      </w:tr>
      <w:tr w:rsidR="0032216D">
        <w:tc>
          <w:tcPr>
            <w:tcW w:w="9552" w:type="dxa"/>
            <w:gridSpan w:val="9"/>
            <w:shd w:val="clear" w:color="auto" w:fill="auto"/>
          </w:tcPr>
          <w:p w:rsidR="0032216D" w:rsidRDefault="001815DD">
            <w:pPr>
              <w:widowControl w:val="0"/>
              <w:autoSpaceDE w:val="0"/>
              <w:autoSpaceDN w:val="0"/>
              <w:adjustRightInd w:val="0"/>
              <w:jc w:val="both"/>
              <w:rPr>
                <w:b/>
                <w:sz w:val="32"/>
                <w:szCs w:val="32"/>
              </w:rPr>
            </w:pPr>
            <w:r>
              <w:rPr>
                <w:rFonts w:cstheme="minorHAnsi"/>
                <w:b/>
                <w:sz w:val="32"/>
                <w:szCs w:val="32"/>
              </w:rPr>
              <w:t>What can this course lead to?</w:t>
            </w:r>
          </w:p>
        </w:tc>
      </w:tr>
      <w:tr w:rsidR="0032216D">
        <w:tc>
          <w:tcPr>
            <w:tcW w:w="9552" w:type="dxa"/>
            <w:gridSpan w:val="9"/>
          </w:tcPr>
          <w:p w:rsidR="0032216D" w:rsidRDefault="001815DD">
            <w:pPr>
              <w:widowControl w:val="0"/>
              <w:autoSpaceDE w:val="0"/>
              <w:autoSpaceDN w:val="0"/>
              <w:adjustRightInd w:val="0"/>
              <w:jc w:val="both"/>
              <w:rPr>
                <w:rFonts w:cstheme="minorHAnsi"/>
                <w:b/>
                <w:sz w:val="32"/>
                <w:szCs w:val="32"/>
              </w:rPr>
            </w:pPr>
            <w:r>
              <w:rPr>
                <w:sz w:val="24"/>
                <w:szCs w:val="24"/>
              </w:rPr>
              <w:t xml:space="preserve">Students who have completed this course can move on to Level 3 BTEC Extended Certificate in IT or a range of UCM IT courses.  </w:t>
            </w:r>
            <w:r>
              <w:rPr>
                <w:rFonts w:cs="Arial"/>
                <w:color w:val="222222"/>
                <w:sz w:val="24"/>
                <w:shd w:val="clear" w:color="auto" w:fill="FFFFFF"/>
              </w:rPr>
              <w:t>The ability to work with and use ICT correctly is an invaluable transferrable skill in our society, no matter which pathway you may follow in the future</w:t>
            </w:r>
            <w:r>
              <w:rPr>
                <w:sz w:val="24"/>
              </w:rPr>
              <w:t>.  Students who have completed this course can</w:t>
            </w:r>
            <w:r>
              <w:rPr>
                <w:rFonts w:cs="Arial"/>
                <w:sz w:val="24"/>
                <w:shd w:val="clear" w:color="auto" w:fill="FFFFFF"/>
              </w:rPr>
              <w:t xml:space="preserve"> develop lifelong skills in a wide variety of software, which will be useful to them in their work across the curriculum and prepare them for future employment.</w:t>
            </w:r>
            <w:r>
              <w:rPr>
                <w:sz w:val="24"/>
              </w:rPr>
              <w:t xml:space="preserve"> It is suitable for those wishing to continue onto further IT pathways or into employment.</w:t>
            </w:r>
          </w:p>
        </w:tc>
      </w:tr>
    </w:tbl>
    <w:p w:rsidR="0032216D" w:rsidRDefault="0032216D"/>
    <w:sectPr w:rsidR="0032216D">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6D"/>
    <w:rsid w:val="001815DD"/>
    <w:rsid w:val="0032216D"/>
    <w:rsid w:val="00797227"/>
    <w:rsid w:val="00841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B93A8B-346F-4D47-B518-CAC92C65F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Venezia, Paula</dc:creator>
  <cp:keywords/>
  <dc:description/>
  <cp:lastModifiedBy>Mason, Helen</cp:lastModifiedBy>
  <cp:revision>2</cp:revision>
  <dcterms:created xsi:type="dcterms:W3CDTF">2024-02-01T13:54:00Z</dcterms:created>
  <dcterms:modified xsi:type="dcterms:W3CDTF">2024-02-01T13:54:00Z</dcterms:modified>
</cp:coreProperties>
</file>